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E03A" w14:textId="77777777" w:rsidR="00B034F0" w:rsidRDefault="00B034F0" w:rsidP="00B034F0"/>
    <w:p w14:paraId="3B56325D" w14:textId="3AB15EE5" w:rsidR="00B034F0" w:rsidRPr="00573DEE" w:rsidRDefault="00B034F0" w:rsidP="009F41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A6FC83" wp14:editId="6F8DBB81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581024</wp:posOffset>
                </wp:positionV>
                <wp:extent cx="6257925" cy="0"/>
                <wp:effectExtent l="0" t="0" r="0" b="0"/>
                <wp:wrapNone/>
                <wp:docPr id="59327564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50F4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FB985" wp14:editId="1BF39C54">
                <wp:simplePos x="0" y="0"/>
                <wp:positionH relativeFrom="column">
                  <wp:posOffset>-104775</wp:posOffset>
                </wp:positionH>
                <wp:positionV relativeFrom="paragraph">
                  <wp:posOffset>-152401</wp:posOffset>
                </wp:positionV>
                <wp:extent cx="6257925" cy="0"/>
                <wp:effectExtent l="0" t="0" r="0" b="0"/>
                <wp:wrapNone/>
                <wp:docPr id="6791830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4B0D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573DEE">
        <w:rPr>
          <w:rFonts w:ascii="Times New Roman" w:hAnsi="Times New Roman" w:cs="Times New Roman"/>
          <w:b/>
          <w:sz w:val="28"/>
          <w:szCs w:val="24"/>
        </w:rPr>
        <w:t>Summary of Content Changes</w:t>
      </w:r>
      <w:r w:rsidRPr="00573DEE">
        <w:rPr>
          <w:rFonts w:ascii="Times New Roman" w:hAnsi="Times New Roman" w:cs="Times New Roman"/>
          <w:b/>
          <w:sz w:val="28"/>
          <w:szCs w:val="24"/>
        </w:rPr>
        <w:br/>
        <w:t>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573DEE">
        <w:rPr>
          <w:rFonts w:ascii="Times New Roman" w:hAnsi="Times New Roman" w:cs="Times New Roman"/>
          <w:b/>
          <w:sz w:val="28"/>
          <w:szCs w:val="24"/>
        </w:rPr>
        <w:t>.</w:t>
      </w:r>
      <w:r w:rsidR="009F41F7">
        <w:rPr>
          <w:rFonts w:ascii="Times New Roman" w:hAnsi="Times New Roman" w:cs="Times New Roman"/>
          <w:b/>
          <w:sz w:val="28"/>
          <w:szCs w:val="24"/>
        </w:rPr>
        <w:t>2</w:t>
      </w:r>
      <w:r w:rsidRPr="00573DEE">
        <w:rPr>
          <w:rFonts w:ascii="Times New Roman" w:hAnsi="Times New Roman" w:cs="Times New Roman"/>
          <w:b/>
          <w:sz w:val="28"/>
          <w:szCs w:val="24"/>
        </w:rPr>
        <w:t xml:space="preserve"> Update – </w:t>
      </w:r>
      <w:r>
        <w:rPr>
          <w:rFonts w:ascii="Times New Roman" w:hAnsi="Times New Roman" w:cs="Times New Roman"/>
          <w:b/>
          <w:sz w:val="28"/>
          <w:szCs w:val="24"/>
        </w:rPr>
        <w:t>Ma</w:t>
      </w:r>
      <w:r w:rsidR="0059320B">
        <w:rPr>
          <w:rFonts w:ascii="Times New Roman" w:hAnsi="Times New Roman" w:cs="Times New Roman"/>
          <w:b/>
          <w:sz w:val="28"/>
          <w:szCs w:val="24"/>
        </w:rPr>
        <w:t>y</w:t>
      </w:r>
      <w:r>
        <w:rPr>
          <w:rFonts w:ascii="Times New Roman" w:hAnsi="Times New Roman" w:cs="Times New Roman"/>
          <w:b/>
          <w:sz w:val="28"/>
          <w:szCs w:val="24"/>
        </w:rPr>
        <w:t xml:space="preserve"> 2025</w:t>
      </w:r>
      <w:r w:rsidR="009F41F7">
        <w:rPr>
          <w:rFonts w:ascii="Times New Roman" w:hAnsi="Times New Roman" w:cs="Times New Roman"/>
          <w:b/>
          <w:sz w:val="28"/>
          <w:szCs w:val="24"/>
        </w:rPr>
        <w:br/>
      </w:r>
    </w:p>
    <w:p w14:paraId="74D6E5C2" w14:textId="77777777" w:rsidR="00B034F0" w:rsidRPr="00573DEE" w:rsidRDefault="00B034F0" w:rsidP="00B034F0">
      <w:pPr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General Notes</w:t>
      </w:r>
    </w:p>
    <w:p w14:paraId="2978E384" w14:textId="1D9AB156" w:rsidR="00B034F0" w:rsidRDefault="0059320B" w:rsidP="00B034F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update contains revisions to the Succession Planning Policy and the model Succession Plan as a result of the </w:t>
      </w:r>
      <w:hyperlink r:id="rId4" w:history="1">
        <w:r w:rsidRPr="0059320B">
          <w:rPr>
            <w:rStyle w:val="Hyperlink"/>
            <w:rFonts w:cstheme="minorHAnsi"/>
            <w:bCs/>
            <w:sz w:val="24"/>
            <w:szCs w:val="24"/>
          </w:rPr>
          <w:t>NCUA’s Final Rule</w:t>
        </w:r>
      </w:hyperlink>
      <w:r>
        <w:rPr>
          <w:rFonts w:cstheme="minorHAnsi"/>
          <w:bCs/>
          <w:sz w:val="24"/>
          <w:szCs w:val="24"/>
        </w:rPr>
        <w:t xml:space="preserve"> that becomes effective on January 1, 2026.  Credit unions should be </w:t>
      </w:r>
      <w:r w:rsidR="00ED130B">
        <w:rPr>
          <w:rFonts w:cstheme="minorHAnsi"/>
          <w:bCs/>
          <w:sz w:val="24"/>
          <w:szCs w:val="24"/>
        </w:rPr>
        <w:t>aware</w:t>
      </w:r>
      <w:r>
        <w:rPr>
          <w:rFonts w:cstheme="minorHAnsi"/>
          <w:bCs/>
          <w:sz w:val="24"/>
          <w:szCs w:val="24"/>
        </w:rPr>
        <w:t xml:space="preserve"> that </w:t>
      </w:r>
      <w:r w:rsidR="00BF51C8">
        <w:rPr>
          <w:rFonts w:cstheme="minorHAnsi"/>
          <w:bCs/>
          <w:sz w:val="24"/>
          <w:szCs w:val="24"/>
        </w:rPr>
        <w:t>NCUA Board opened its Final Rule on Succession Planning</w:t>
      </w:r>
      <w:r w:rsidR="00625C67">
        <w:rPr>
          <w:rFonts w:cstheme="minorHAnsi"/>
          <w:bCs/>
          <w:sz w:val="24"/>
          <w:szCs w:val="24"/>
        </w:rPr>
        <w:t xml:space="preserve"> </w:t>
      </w:r>
      <w:hyperlink r:id="rId5" w:history="1">
        <w:r w:rsidR="00BE2EBD" w:rsidRPr="00ED130B">
          <w:rPr>
            <w:rStyle w:val="Hyperlink"/>
            <w:rFonts w:cstheme="minorHAnsi"/>
            <w:bCs/>
            <w:sz w:val="24"/>
            <w:szCs w:val="24"/>
          </w:rPr>
          <w:t>up for comments</w:t>
        </w:r>
      </w:hyperlink>
      <w:r w:rsidR="00BE2EBD">
        <w:rPr>
          <w:rFonts w:cstheme="minorHAnsi"/>
          <w:bCs/>
          <w:sz w:val="24"/>
          <w:szCs w:val="24"/>
        </w:rPr>
        <w:t xml:space="preserve"> </w:t>
      </w:r>
      <w:r w:rsidR="00625C67">
        <w:rPr>
          <w:rFonts w:cstheme="minorHAnsi"/>
          <w:bCs/>
          <w:sz w:val="24"/>
          <w:szCs w:val="24"/>
        </w:rPr>
        <w:t>in accordance with a White House Executive Order</w:t>
      </w:r>
      <w:r w:rsidR="00C03F22">
        <w:rPr>
          <w:rFonts w:cstheme="minorHAnsi"/>
          <w:bCs/>
          <w:sz w:val="24"/>
          <w:szCs w:val="24"/>
        </w:rPr>
        <w:t>.  Comments must be received on or before June 23, 2025.</w:t>
      </w:r>
      <w:r w:rsidR="00416903">
        <w:rPr>
          <w:rFonts w:cstheme="minorHAnsi"/>
          <w:bCs/>
          <w:sz w:val="24"/>
          <w:szCs w:val="24"/>
        </w:rPr>
        <w:t xml:space="preserve">  </w:t>
      </w:r>
    </w:p>
    <w:p w14:paraId="42EAEF3B" w14:textId="77777777" w:rsidR="00416903" w:rsidRDefault="00416903" w:rsidP="00B034F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6E83174" w14:textId="123799EF" w:rsidR="00416903" w:rsidRDefault="00416903" w:rsidP="00B034F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 addition to those changes</w:t>
      </w:r>
      <w:r w:rsidR="00002954">
        <w:rPr>
          <w:rFonts w:cstheme="minorHAnsi"/>
          <w:bCs/>
          <w:sz w:val="24"/>
          <w:szCs w:val="24"/>
        </w:rPr>
        <w:t>, credit unions will also find updates to the Enterprise Risk Management policy and the</w:t>
      </w:r>
      <w:r w:rsidR="00A23BCA">
        <w:rPr>
          <w:rFonts w:cstheme="minorHAnsi"/>
          <w:bCs/>
          <w:sz w:val="24"/>
          <w:szCs w:val="24"/>
        </w:rPr>
        <w:t xml:space="preserve"> </w:t>
      </w:r>
      <w:r w:rsidR="00002954">
        <w:rPr>
          <w:rFonts w:cstheme="minorHAnsi"/>
          <w:bCs/>
          <w:sz w:val="24"/>
          <w:szCs w:val="24"/>
        </w:rPr>
        <w:t>Third</w:t>
      </w:r>
      <w:r w:rsidR="006F6F1F">
        <w:rPr>
          <w:rFonts w:cstheme="minorHAnsi"/>
          <w:bCs/>
          <w:sz w:val="24"/>
          <w:szCs w:val="24"/>
        </w:rPr>
        <w:t>-</w:t>
      </w:r>
      <w:r w:rsidR="00002954">
        <w:rPr>
          <w:rFonts w:cstheme="minorHAnsi"/>
          <w:bCs/>
          <w:sz w:val="24"/>
          <w:szCs w:val="24"/>
        </w:rPr>
        <w:t>Party</w:t>
      </w:r>
      <w:r w:rsidR="00A23BCA">
        <w:rPr>
          <w:rFonts w:cstheme="minorHAnsi"/>
          <w:bCs/>
          <w:sz w:val="24"/>
          <w:szCs w:val="24"/>
        </w:rPr>
        <w:t xml:space="preserve"> Vendor Due Diligence and Oversight </w:t>
      </w:r>
      <w:r w:rsidR="006F6F1F">
        <w:rPr>
          <w:rFonts w:cstheme="minorHAnsi"/>
          <w:bCs/>
          <w:sz w:val="24"/>
          <w:szCs w:val="24"/>
        </w:rPr>
        <w:t xml:space="preserve">policy as a result of the </w:t>
      </w:r>
      <w:hyperlink r:id="rId6" w:history="1">
        <w:r w:rsidR="006F6F1F" w:rsidRPr="006F6F1F">
          <w:rPr>
            <w:rStyle w:val="Hyperlink"/>
            <w:rFonts w:cstheme="minorHAnsi"/>
            <w:bCs/>
            <w:sz w:val="24"/>
            <w:szCs w:val="24"/>
          </w:rPr>
          <w:t>NCUA Supervisory Priorities</w:t>
        </w:r>
      </w:hyperlink>
      <w:r w:rsidR="006F6F1F">
        <w:rPr>
          <w:rFonts w:cstheme="minorHAnsi"/>
          <w:bCs/>
          <w:sz w:val="24"/>
          <w:szCs w:val="24"/>
        </w:rPr>
        <w:t>.</w:t>
      </w:r>
    </w:p>
    <w:p w14:paraId="2E6B2B62" w14:textId="77777777" w:rsidR="00B008E9" w:rsidRDefault="00B008E9" w:rsidP="00B034F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B6781A1" w14:textId="0BF488B0" w:rsidR="00B008E9" w:rsidRDefault="00B008E9" w:rsidP="00B034F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Changes were also made to the Real Estate Appraisals Appendices that </w:t>
      </w:r>
      <w:r w:rsidR="00BF5395">
        <w:rPr>
          <w:rFonts w:cstheme="minorHAnsi"/>
          <w:bCs/>
          <w:sz w:val="24"/>
          <w:szCs w:val="24"/>
        </w:rPr>
        <w:t xml:space="preserve">covers that changes to the </w:t>
      </w:r>
      <w:hyperlink r:id="rId7" w:history="1">
        <w:r w:rsidR="00BF5395" w:rsidRPr="008E3844">
          <w:rPr>
            <w:rStyle w:val="Hyperlink"/>
            <w:rFonts w:cstheme="minorHAnsi"/>
            <w:bCs/>
            <w:sz w:val="24"/>
            <w:szCs w:val="24"/>
          </w:rPr>
          <w:t>final rule</w:t>
        </w:r>
      </w:hyperlink>
      <w:r w:rsidR="00BF5395">
        <w:rPr>
          <w:rFonts w:cstheme="minorHAnsi"/>
          <w:bCs/>
          <w:sz w:val="24"/>
          <w:szCs w:val="24"/>
        </w:rPr>
        <w:t xml:space="preserve"> for quality control standards for automated valuation models that becomes effective in October 2025.</w:t>
      </w:r>
    </w:p>
    <w:p w14:paraId="63874AA2" w14:textId="77777777" w:rsidR="00E60D07" w:rsidRDefault="00E60D07" w:rsidP="00B034F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78F8E5A" w14:textId="0294713C" w:rsidR="00E60D07" w:rsidRPr="0059320B" w:rsidRDefault="00E60D07" w:rsidP="00B034F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Last, changes were also made to comply with the Federal Trade Commission changes impacting the </w:t>
      </w:r>
      <w:hyperlink r:id="rId8" w:history="1">
        <w:r w:rsidRPr="008D4D57">
          <w:rPr>
            <w:rStyle w:val="Hyperlink"/>
            <w:rFonts w:cstheme="minorHAnsi"/>
            <w:bCs/>
            <w:sz w:val="24"/>
            <w:szCs w:val="24"/>
          </w:rPr>
          <w:t>Children’s Oline Privacy Protection Act</w:t>
        </w:r>
      </w:hyperlink>
      <w:r>
        <w:rPr>
          <w:rFonts w:cstheme="minorHAnsi"/>
          <w:bCs/>
          <w:sz w:val="24"/>
          <w:szCs w:val="24"/>
        </w:rPr>
        <w:t xml:space="preserve">, which becomes effective on </w:t>
      </w:r>
      <w:r w:rsidR="008D4D57">
        <w:rPr>
          <w:rFonts w:cstheme="minorHAnsi"/>
          <w:bCs/>
          <w:sz w:val="24"/>
          <w:szCs w:val="24"/>
        </w:rPr>
        <w:t>June 23, 2025.</w:t>
      </w:r>
    </w:p>
    <w:p w14:paraId="1DBD03BD" w14:textId="77777777" w:rsidR="00B034F0" w:rsidRPr="00573DEE" w:rsidRDefault="00B034F0" w:rsidP="00B034F0">
      <w:pPr>
        <w:pStyle w:val="Default"/>
        <w:rPr>
          <w:rFonts w:cstheme="minorHAnsi"/>
          <w:b/>
          <w:color w:val="FF0000"/>
        </w:rPr>
      </w:pPr>
      <w:r w:rsidRPr="00573DEE">
        <w:rPr>
          <w:rFonts w:cstheme="minorHAnsi"/>
          <w:b/>
          <w:color w:val="FF0000"/>
        </w:rPr>
        <w:br/>
      </w:r>
    </w:p>
    <w:p w14:paraId="7AC4D17D" w14:textId="619F8EA5" w:rsidR="00147B35" w:rsidRPr="00E34A5E" w:rsidRDefault="004A5771" w:rsidP="00E34A5E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>Policy 1240 – Enterprise Risk Management</w:t>
      </w:r>
    </w:p>
    <w:p w14:paraId="7112E011" w14:textId="1EEF2F50" w:rsidR="004A5771" w:rsidRPr="00E34A5E" w:rsidRDefault="004A5771" w:rsidP="00E34A5E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>2025-1</w:t>
      </w:r>
    </w:p>
    <w:p w14:paraId="660FE502" w14:textId="0670C022" w:rsidR="00AA6E3F" w:rsidRDefault="00832627">
      <w:r>
        <w:t>Updates were made to strengthen the Enterprise Risk Management policy</w:t>
      </w:r>
      <w:r w:rsidR="006D1D51">
        <w:t xml:space="preserve">.  </w:t>
      </w:r>
      <w:r w:rsidR="00C75767">
        <w:t>The</w:t>
      </w:r>
      <w:r w:rsidR="00D9125D">
        <w:t xml:space="preserve"> </w:t>
      </w:r>
      <w:hyperlink r:id="rId9" w:history="1">
        <w:r w:rsidR="00D9125D" w:rsidRPr="00D12C07">
          <w:rPr>
            <w:rStyle w:val="Hyperlink"/>
          </w:rPr>
          <w:t>NCUA Supervisory Priorities</w:t>
        </w:r>
      </w:hyperlink>
      <w:r w:rsidR="0088092D">
        <w:t xml:space="preserve"> for 2025 placed emphasis on credit risk, </w:t>
      </w:r>
      <w:r w:rsidR="00D21C38">
        <w:t xml:space="preserve">balance sheet management, and </w:t>
      </w:r>
      <w:r w:rsidR="009A0144">
        <w:t>risk to earnings and net worth</w:t>
      </w:r>
      <w:r w:rsidR="00D21C38">
        <w:t xml:space="preserve">.  </w:t>
      </w:r>
      <w:r w:rsidR="00337CE2">
        <w:t>All identification of risk categories were updated</w:t>
      </w:r>
      <w:r w:rsidR="0036333E">
        <w:t xml:space="preserve"> to provide more specific sub</w:t>
      </w:r>
      <w:r w:rsidR="007D1EE6">
        <w:t>types</w:t>
      </w:r>
      <w:r w:rsidR="00B86CC9">
        <w:t xml:space="preserve"> for credit union consideration.</w:t>
      </w:r>
      <w:r w:rsidR="00407469">
        <w:t xml:space="preserve">  </w:t>
      </w:r>
      <w:r w:rsidR="00566DD6">
        <w:t xml:space="preserve">More detailed </w:t>
      </w:r>
      <w:r w:rsidR="00F32B44">
        <w:t xml:space="preserve">components within the risk assessments section </w:t>
      </w:r>
      <w:proofErr w:type="gramStart"/>
      <w:r w:rsidR="00F32B44">
        <w:t>was</w:t>
      </w:r>
      <w:proofErr w:type="gramEnd"/>
      <w:r w:rsidR="00F32B44">
        <w:t xml:space="preserve"> and a definition section was also added to further assist credit unions.</w:t>
      </w:r>
    </w:p>
    <w:p w14:paraId="1785990A" w14:textId="77777777" w:rsidR="004630DA" w:rsidRPr="00DD2B60" w:rsidRDefault="004630DA" w:rsidP="004630DA">
      <w:pPr>
        <w:spacing w:after="0"/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>
        <w:rPr>
          <w:rFonts w:cstheme="minorHAnsi"/>
          <w:b/>
          <w:bCs/>
          <w:color w:val="FF0000"/>
          <w:sz w:val="24"/>
          <w:szCs w:val="24"/>
        </w:rPr>
        <w:t>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432903DA" w14:textId="77777777" w:rsidR="004630DA" w:rsidRDefault="004630DA"/>
    <w:p w14:paraId="3FD5183E" w14:textId="09DB92C9" w:rsidR="00980485" w:rsidRPr="00E34A5E" w:rsidRDefault="00980485" w:rsidP="00980485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 xml:space="preserve">Policy </w:t>
      </w:r>
      <w:r>
        <w:rPr>
          <w:b/>
          <w:bCs/>
          <w:u w:val="single"/>
        </w:rPr>
        <w:t>1520</w:t>
      </w:r>
      <w:r w:rsidRPr="00E34A5E">
        <w:rPr>
          <w:b/>
          <w:bCs/>
          <w:u w:val="single"/>
        </w:rPr>
        <w:t xml:space="preserve"> – </w:t>
      </w:r>
      <w:r w:rsidR="00093163">
        <w:rPr>
          <w:b/>
          <w:bCs/>
          <w:u w:val="single"/>
        </w:rPr>
        <w:t>Succession Planning</w:t>
      </w:r>
    </w:p>
    <w:p w14:paraId="6D0FE38E" w14:textId="77777777" w:rsidR="00980485" w:rsidRPr="00E34A5E" w:rsidRDefault="00980485" w:rsidP="00980485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>2025-1</w:t>
      </w:r>
    </w:p>
    <w:p w14:paraId="1599A10B" w14:textId="034ADFC1" w:rsidR="00980485" w:rsidRDefault="00192968" w:rsidP="00980485">
      <w:r>
        <w:t xml:space="preserve">The Succession Planning policy was updated to </w:t>
      </w:r>
      <w:r w:rsidR="009409CD">
        <w:t xml:space="preserve">comply with the </w:t>
      </w:r>
      <w:hyperlink r:id="rId10" w:history="1">
        <w:r w:rsidR="009409CD" w:rsidRPr="009409CD">
          <w:rPr>
            <w:rStyle w:val="Hyperlink"/>
          </w:rPr>
          <w:t>NCUA’s Final Rule</w:t>
        </w:r>
      </w:hyperlink>
      <w:r w:rsidR="009409CD">
        <w:t>, effective on January</w:t>
      </w:r>
      <w:r w:rsidR="002C2449">
        <w:t xml:space="preserve"> 1, 2026.  While the rule was opened back up for comments by the NCUA, </w:t>
      </w:r>
      <w:r w:rsidR="00DC305E">
        <w:t xml:space="preserve">we are unsure if there will be additional changes. </w:t>
      </w:r>
    </w:p>
    <w:p w14:paraId="41C3F08C" w14:textId="7161540E" w:rsidR="00980485" w:rsidRDefault="00980485" w:rsidP="00980485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 w:rsidR="00DC305E">
        <w:rPr>
          <w:rFonts w:cstheme="minorHAnsi"/>
          <w:b/>
          <w:bCs/>
          <w:color w:val="FF0000"/>
          <w:sz w:val="24"/>
          <w:szCs w:val="24"/>
        </w:rPr>
        <w:t>quired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4A6AF8A8" w14:textId="77777777" w:rsidR="00DC305E" w:rsidRDefault="00DC305E" w:rsidP="00980485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C41627B" w14:textId="4EC6F734" w:rsidR="00DC305E" w:rsidRPr="00E34A5E" w:rsidRDefault="00DC305E" w:rsidP="00DC305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1520</w:t>
      </w:r>
      <w:r w:rsidR="00FD3FFE">
        <w:rPr>
          <w:b/>
          <w:bCs/>
          <w:u w:val="single"/>
        </w:rPr>
        <w:t>.10</w:t>
      </w:r>
      <w:r w:rsidRPr="00E34A5E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Succession Plan</w:t>
      </w:r>
    </w:p>
    <w:p w14:paraId="036BE646" w14:textId="77777777" w:rsidR="00DC305E" w:rsidRPr="00E34A5E" w:rsidRDefault="00DC305E" w:rsidP="00DC305E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>2025-1</w:t>
      </w:r>
    </w:p>
    <w:p w14:paraId="5D6DB9E2" w14:textId="7976865C" w:rsidR="00DC305E" w:rsidRDefault="00DC305E" w:rsidP="00DC305E">
      <w:r>
        <w:t>The</w:t>
      </w:r>
      <w:r w:rsidR="00702E72">
        <w:t xml:space="preserve"> model</w:t>
      </w:r>
      <w:r>
        <w:t xml:space="preserve"> Succession Plan was updated to comply with the </w:t>
      </w:r>
      <w:hyperlink r:id="rId11" w:history="1">
        <w:r w:rsidRPr="009409CD">
          <w:rPr>
            <w:rStyle w:val="Hyperlink"/>
          </w:rPr>
          <w:t>NCUA’s Final Rule</w:t>
        </w:r>
      </w:hyperlink>
      <w:r>
        <w:t xml:space="preserve">, effective on January 1, 2026.  While the rule was opened back up for comments by the NCUA, we are unsure if there will be additional changes. </w:t>
      </w:r>
      <w:r w:rsidR="00F53F16">
        <w:t xml:space="preserve">Credit unions are </w:t>
      </w:r>
      <w:r w:rsidR="00152A92">
        <w:t>required to have a succession plan</w:t>
      </w:r>
      <w:r w:rsidR="00CD39D3">
        <w:t xml:space="preserve"> in </w:t>
      </w:r>
      <w:proofErr w:type="gramStart"/>
      <w:r w:rsidR="00CD39D3">
        <w:t>place</w:t>
      </w:r>
      <w:r w:rsidR="00152A92">
        <w:t>,</w:t>
      </w:r>
      <w:proofErr w:type="gramEnd"/>
      <w:r w:rsidR="00152A92">
        <w:t xml:space="preserve"> this </w:t>
      </w:r>
      <w:r w:rsidR="00CD39D3">
        <w:t xml:space="preserve">model plan was created </w:t>
      </w:r>
      <w:r w:rsidR="00F87076">
        <w:t>for credit unions to utilize as a guide/model.  While this model is not required, a succession plan is required.</w:t>
      </w:r>
    </w:p>
    <w:p w14:paraId="5581049E" w14:textId="77777777" w:rsidR="00DC305E" w:rsidRPr="00DD2B60" w:rsidRDefault="00DC305E" w:rsidP="00DC305E">
      <w:pPr>
        <w:spacing w:after="0"/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>
        <w:rPr>
          <w:rFonts w:cstheme="minorHAnsi"/>
          <w:b/>
          <w:bCs/>
          <w:color w:val="FF0000"/>
          <w:sz w:val="24"/>
          <w:szCs w:val="24"/>
        </w:rPr>
        <w:t>quired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0C6CFD62" w14:textId="77777777" w:rsidR="00DC305E" w:rsidRDefault="00DC305E" w:rsidP="00980485">
      <w:pPr>
        <w:spacing w:after="0"/>
      </w:pPr>
    </w:p>
    <w:p w14:paraId="4451B938" w14:textId="45A47439" w:rsidR="00F87076" w:rsidRPr="0032396D" w:rsidRDefault="00F87076" w:rsidP="00980485">
      <w:pPr>
        <w:spacing w:after="0"/>
        <w:rPr>
          <w:b/>
          <w:bCs/>
          <w:u w:val="single"/>
        </w:rPr>
      </w:pPr>
      <w:r w:rsidRPr="0032396D">
        <w:rPr>
          <w:b/>
          <w:bCs/>
          <w:u w:val="single"/>
        </w:rPr>
        <w:t>1520.20</w:t>
      </w:r>
      <w:r w:rsidR="00BA6A61" w:rsidRPr="0032396D">
        <w:rPr>
          <w:b/>
          <w:bCs/>
          <w:u w:val="single"/>
        </w:rPr>
        <w:t xml:space="preserve"> </w:t>
      </w:r>
      <w:r w:rsidR="0032396D" w:rsidRPr="0032396D">
        <w:rPr>
          <w:b/>
          <w:bCs/>
          <w:u w:val="single"/>
        </w:rPr>
        <w:t>–</w:t>
      </w:r>
      <w:r w:rsidR="00BA6A61" w:rsidRPr="0032396D">
        <w:rPr>
          <w:b/>
          <w:bCs/>
          <w:u w:val="single"/>
        </w:rPr>
        <w:t xml:space="preserve"> </w:t>
      </w:r>
      <w:r w:rsidR="0032396D" w:rsidRPr="0032396D">
        <w:rPr>
          <w:b/>
          <w:bCs/>
          <w:u w:val="single"/>
        </w:rPr>
        <w:t>Associate Board Member</w:t>
      </w:r>
    </w:p>
    <w:p w14:paraId="53FCE0C2" w14:textId="3C6CB220" w:rsidR="00846AC8" w:rsidRPr="0032396D" w:rsidRDefault="00846AC8" w:rsidP="00980485">
      <w:pPr>
        <w:spacing w:after="0"/>
        <w:rPr>
          <w:b/>
          <w:bCs/>
          <w:u w:val="single"/>
        </w:rPr>
      </w:pPr>
      <w:r w:rsidRPr="0032396D">
        <w:rPr>
          <w:b/>
          <w:bCs/>
          <w:u w:val="single"/>
        </w:rPr>
        <w:t>2025-1</w:t>
      </w:r>
    </w:p>
    <w:p w14:paraId="0EFAEC11" w14:textId="238F38FC" w:rsidR="00846AC8" w:rsidRDefault="00FA2C6D" w:rsidP="00980485">
      <w:pPr>
        <w:spacing w:after="0"/>
      </w:pPr>
      <w:r>
        <w:t xml:space="preserve">This example Associate Board Member </w:t>
      </w:r>
      <w:r w:rsidR="00D4133C">
        <w:t>outline was created to help credit unions develop a program</w:t>
      </w:r>
      <w:r w:rsidR="00BA6A61">
        <w:t xml:space="preserve"> to encourage succession</w:t>
      </w:r>
      <w:r w:rsidR="002032C7">
        <w:t xml:space="preserve"> to better prepare for </w:t>
      </w:r>
      <w:r w:rsidR="00176B33">
        <w:t>vacancies as required under the NCUA’s succession planning rule.</w:t>
      </w:r>
    </w:p>
    <w:p w14:paraId="6A4525EF" w14:textId="77777777" w:rsidR="00176B33" w:rsidRDefault="00176B33" w:rsidP="00980485">
      <w:pPr>
        <w:spacing w:after="0"/>
      </w:pPr>
    </w:p>
    <w:p w14:paraId="51E0DE6C" w14:textId="6EE1CE93" w:rsidR="00176B33" w:rsidRDefault="00176B33" w:rsidP="00980485">
      <w:pPr>
        <w:spacing w:after="0"/>
        <w:rPr>
          <w:b/>
          <w:bCs/>
          <w:color w:val="FF0000"/>
        </w:rPr>
      </w:pPr>
      <w:r w:rsidRPr="00176B33">
        <w:rPr>
          <w:b/>
          <w:bCs/>
          <w:color w:val="FF0000"/>
        </w:rPr>
        <w:t>(Recommended)</w:t>
      </w:r>
    </w:p>
    <w:p w14:paraId="2BC8ED10" w14:textId="77777777" w:rsidR="00ED7A76" w:rsidRDefault="00ED7A76" w:rsidP="00980485">
      <w:pPr>
        <w:spacing w:after="0"/>
        <w:rPr>
          <w:b/>
          <w:bCs/>
          <w:color w:val="FF0000"/>
        </w:rPr>
      </w:pPr>
    </w:p>
    <w:p w14:paraId="60B2BFCC" w14:textId="535205CD" w:rsidR="00D8528D" w:rsidRDefault="00D130B3" w:rsidP="0049268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Policy 2145 – Office of Foreign Assets Control</w:t>
      </w:r>
    </w:p>
    <w:p w14:paraId="298119C4" w14:textId="0748ACD4" w:rsidR="00D130B3" w:rsidRDefault="00D130B3" w:rsidP="0049268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2025-1</w:t>
      </w:r>
    </w:p>
    <w:p w14:paraId="4602E461" w14:textId="74F135CA" w:rsidR="00D130B3" w:rsidRDefault="00D130B3" w:rsidP="0049268A">
      <w:pPr>
        <w:spacing w:after="0" w:line="240" w:lineRule="auto"/>
      </w:pPr>
      <w:r>
        <w:t>This policy was revised to remove</w:t>
      </w:r>
      <w:r w:rsidR="006B1730">
        <w:t xml:space="preserve"> the</w:t>
      </w:r>
      <w:r w:rsidR="00140736">
        <w:t xml:space="preserve"> telephone number</w:t>
      </w:r>
      <w:r w:rsidR="00A5455C">
        <w:t xml:space="preserve"> referenced for the OFAC Compliance Hotline and </w:t>
      </w:r>
      <w:proofErr w:type="gramStart"/>
      <w:r w:rsidR="00A5455C">
        <w:t>replaced</w:t>
      </w:r>
      <w:proofErr w:type="gramEnd"/>
      <w:r w:rsidR="00A5455C">
        <w:t xml:space="preserve"> it with the link to the OFAC’s </w:t>
      </w:r>
      <w:r w:rsidR="004A1D2A">
        <w:t>Compliance Hotline</w:t>
      </w:r>
      <w:r w:rsidR="001D53D6">
        <w:t xml:space="preserve"> website</w:t>
      </w:r>
      <w:r w:rsidR="004A1D2A">
        <w:t>.  The telephone number previously listed is now</w:t>
      </w:r>
      <w:r w:rsidR="0020500F">
        <w:t xml:space="preserve"> advertised to be used for technical questions.</w:t>
      </w:r>
    </w:p>
    <w:p w14:paraId="697906A6" w14:textId="77777777" w:rsidR="0020500F" w:rsidRDefault="0020500F" w:rsidP="0049268A">
      <w:pPr>
        <w:spacing w:after="0" w:line="240" w:lineRule="auto"/>
      </w:pPr>
    </w:p>
    <w:p w14:paraId="764344A8" w14:textId="77777777" w:rsidR="0020500F" w:rsidRDefault="0020500F" w:rsidP="0020500F">
      <w:pPr>
        <w:spacing w:after="0"/>
        <w:rPr>
          <w:b/>
          <w:bCs/>
          <w:color w:val="FF0000"/>
        </w:rPr>
      </w:pPr>
      <w:r w:rsidRPr="00176B33">
        <w:rPr>
          <w:b/>
          <w:bCs/>
          <w:color w:val="FF0000"/>
        </w:rPr>
        <w:t>(Recommended)</w:t>
      </w:r>
    </w:p>
    <w:p w14:paraId="3546C012" w14:textId="77777777" w:rsidR="0020500F" w:rsidRPr="00D130B3" w:rsidRDefault="0020500F" w:rsidP="0049268A">
      <w:pPr>
        <w:spacing w:after="0" w:line="240" w:lineRule="auto"/>
      </w:pPr>
    </w:p>
    <w:p w14:paraId="50A14D09" w14:textId="77777777" w:rsidR="00D8528D" w:rsidRDefault="00D8528D" w:rsidP="0049268A">
      <w:pPr>
        <w:spacing w:after="0" w:line="240" w:lineRule="auto"/>
        <w:rPr>
          <w:b/>
          <w:bCs/>
          <w:u w:val="single"/>
        </w:rPr>
      </w:pPr>
    </w:p>
    <w:p w14:paraId="32C0D00E" w14:textId="46135690" w:rsidR="006F6F1F" w:rsidRDefault="006F6F1F" w:rsidP="0049268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Policy 2185 – </w:t>
      </w:r>
      <w:r w:rsidR="00177FD0">
        <w:rPr>
          <w:b/>
          <w:bCs/>
          <w:u w:val="single"/>
        </w:rPr>
        <w:t>Third-Party Vendor Due Diligence and Oversight</w:t>
      </w:r>
    </w:p>
    <w:p w14:paraId="07983139" w14:textId="0742747C" w:rsidR="00177FD0" w:rsidRDefault="00177FD0" w:rsidP="0049268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2025-1</w:t>
      </w:r>
    </w:p>
    <w:p w14:paraId="69D3D8C7" w14:textId="4A7C2478" w:rsidR="00177FD0" w:rsidRDefault="0009173D" w:rsidP="0049268A">
      <w:pPr>
        <w:spacing w:after="0" w:line="240" w:lineRule="auto"/>
      </w:pPr>
      <w:r>
        <w:t>Additional due diligence documentation requirements were added for each risk rating review, including documentation of how often reviews will be conducted and documentation on the depth of reviewed</w:t>
      </w:r>
      <w:r w:rsidR="008E10F4">
        <w:t xml:space="preserve"> performed</w:t>
      </w:r>
      <w:r>
        <w:t xml:space="preserve"> based on the level of risk assigned.</w:t>
      </w:r>
    </w:p>
    <w:p w14:paraId="7C333E42" w14:textId="77777777" w:rsidR="0009173D" w:rsidRPr="0009173D" w:rsidRDefault="0009173D" w:rsidP="0049268A">
      <w:pPr>
        <w:spacing w:after="0" w:line="240" w:lineRule="auto"/>
      </w:pPr>
    </w:p>
    <w:p w14:paraId="74758605" w14:textId="77777777" w:rsidR="0009173D" w:rsidRDefault="0009173D" w:rsidP="0009173D">
      <w:pPr>
        <w:spacing w:after="0"/>
        <w:rPr>
          <w:b/>
          <w:bCs/>
          <w:color w:val="FF0000"/>
        </w:rPr>
      </w:pPr>
      <w:r w:rsidRPr="00176B33">
        <w:rPr>
          <w:b/>
          <w:bCs/>
          <w:color w:val="FF0000"/>
        </w:rPr>
        <w:t>(Recommended)</w:t>
      </w:r>
    </w:p>
    <w:p w14:paraId="7AE03938" w14:textId="77777777" w:rsidR="00177FD0" w:rsidRDefault="00177FD0" w:rsidP="0049268A">
      <w:pPr>
        <w:spacing w:after="0" w:line="240" w:lineRule="auto"/>
        <w:rPr>
          <w:b/>
          <w:bCs/>
          <w:u w:val="single"/>
        </w:rPr>
      </w:pPr>
    </w:p>
    <w:p w14:paraId="28FAEBF4" w14:textId="77777777" w:rsidR="00177FD0" w:rsidRDefault="00177FD0" w:rsidP="0049268A">
      <w:pPr>
        <w:spacing w:after="0" w:line="240" w:lineRule="auto"/>
        <w:rPr>
          <w:b/>
          <w:bCs/>
          <w:u w:val="single"/>
        </w:rPr>
      </w:pPr>
    </w:p>
    <w:p w14:paraId="27D40106" w14:textId="7A192C2E" w:rsidR="0049268A" w:rsidRPr="00E34A5E" w:rsidRDefault="0049268A" w:rsidP="0049268A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 xml:space="preserve">Policy </w:t>
      </w:r>
      <w:r>
        <w:rPr>
          <w:b/>
          <w:bCs/>
          <w:u w:val="single"/>
        </w:rPr>
        <w:t>2205 – Unlawful Internet Gambling</w:t>
      </w:r>
    </w:p>
    <w:p w14:paraId="0B3803D9" w14:textId="77777777" w:rsidR="0049268A" w:rsidRPr="00E34A5E" w:rsidRDefault="0049268A" w:rsidP="0049268A">
      <w:pPr>
        <w:spacing w:after="0" w:line="240" w:lineRule="auto"/>
        <w:rPr>
          <w:b/>
          <w:bCs/>
          <w:u w:val="single"/>
        </w:rPr>
      </w:pPr>
      <w:r w:rsidRPr="00E34A5E">
        <w:rPr>
          <w:b/>
          <w:bCs/>
          <w:u w:val="single"/>
        </w:rPr>
        <w:t>2025-1</w:t>
      </w:r>
    </w:p>
    <w:p w14:paraId="7EF845F0" w14:textId="54B14A45" w:rsidR="0049268A" w:rsidRDefault="00F2293E" w:rsidP="0049268A">
      <w:proofErr w:type="gramStart"/>
      <w:r>
        <w:t>In order to</w:t>
      </w:r>
      <w:proofErr w:type="gramEnd"/>
      <w:r>
        <w:t xml:space="preserve"> provide consistency across all </w:t>
      </w:r>
      <w:r w:rsidR="002215FD">
        <w:t>“Designated Payment Systems” as defined within the policy, more detailed</w:t>
      </w:r>
      <w:r w:rsidR="005441E6">
        <w:t xml:space="preserve"> due diligence and analysis requirements were</w:t>
      </w:r>
      <w:r w:rsidR="002215FD">
        <w:t xml:space="preserve"> provided for transactions process</w:t>
      </w:r>
      <w:r w:rsidR="005441E6">
        <w:t>ed</w:t>
      </w:r>
      <w:r w:rsidR="002215FD">
        <w:t xml:space="preserve"> through ACH</w:t>
      </w:r>
      <w:r w:rsidR="00B4044A">
        <w:t xml:space="preserve"> and Wire transfers</w:t>
      </w:r>
      <w:r w:rsidR="005441E6">
        <w:t>.</w:t>
      </w:r>
    </w:p>
    <w:p w14:paraId="15A00B8A" w14:textId="1D32228F" w:rsidR="0049268A" w:rsidRDefault="0049268A" w:rsidP="0049268A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</w:t>
      </w:r>
      <w:r w:rsidR="005441E6">
        <w:rPr>
          <w:rFonts w:cstheme="minorHAnsi"/>
          <w:b/>
          <w:bCs/>
          <w:color w:val="FF0000"/>
          <w:sz w:val="24"/>
          <w:szCs w:val="24"/>
        </w:rPr>
        <w:t>ecommended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3DD32FB2" w14:textId="77777777" w:rsidR="00ED7A76" w:rsidRPr="00176B33" w:rsidRDefault="00ED7A76" w:rsidP="00980485">
      <w:pPr>
        <w:spacing w:after="0"/>
        <w:rPr>
          <w:b/>
          <w:bCs/>
        </w:rPr>
      </w:pPr>
    </w:p>
    <w:p w14:paraId="7112E719" w14:textId="0144BD1B" w:rsidR="00CA2CDF" w:rsidRDefault="00CA2CDF" w:rsidP="00A61B7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Policy 2223</w:t>
      </w:r>
      <w:r w:rsidR="000F44BD">
        <w:rPr>
          <w:b/>
          <w:bCs/>
          <w:u w:val="single"/>
        </w:rPr>
        <w:t xml:space="preserve"> – Children’s Online Privacy Protection Act (COPPA)</w:t>
      </w:r>
    </w:p>
    <w:p w14:paraId="6EECB22A" w14:textId="39B1B5C0" w:rsidR="00CA2CDF" w:rsidRDefault="00CA2CDF" w:rsidP="00A61B7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2025-1</w:t>
      </w:r>
    </w:p>
    <w:p w14:paraId="308E77D5" w14:textId="4348A837" w:rsidR="00CA2CDF" w:rsidRPr="000F44BD" w:rsidRDefault="000F44BD" w:rsidP="00A61B72">
      <w:pPr>
        <w:spacing w:after="0" w:line="240" w:lineRule="auto"/>
      </w:pPr>
      <w:r w:rsidRPr="000F44BD">
        <w:lastRenderedPageBreak/>
        <w:t>Th</w:t>
      </w:r>
      <w:r>
        <w:t xml:space="preserve">is policy is being revised to comply with the </w:t>
      </w:r>
      <w:hyperlink r:id="rId12" w:history="1">
        <w:r w:rsidR="00E60D07" w:rsidRPr="00E60D07">
          <w:rPr>
            <w:rStyle w:val="Hyperlink"/>
          </w:rPr>
          <w:t>final rule</w:t>
        </w:r>
      </w:hyperlink>
      <w:r w:rsidR="00E60D07">
        <w:t xml:space="preserve"> </w:t>
      </w:r>
      <w:r>
        <w:t xml:space="preserve">changes </w:t>
      </w:r>
      <w:r w:rsidR="00E60D07">
        <w:t>that will become effective on June 23, 2025.</w:t>
      </w:r>
    </w:p>
    <w:p w14:paraId="44B614A4" w14:textId="77777777" w:rsidR="000F44BD" w:rsidRDefault="000F44BD" w:rsidP="00A61B72">
      <w:pPr>
        <w:spacing w:after="0" w:line="240" w:lineRule="auto"/>
        <w:rPr>
          <w:b/>
          <w:bCs/>
          <w:u w:val="single"/>
        </w:rPr>
      </w:pPr>
    </w:p>
    <w:p w14:paraId="63B4FEE5" w14:textId="77777777" w:rsidR="008D4D57" w:rsidRDefault="008D4D57" w:rsidP="008D4D57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>
        <w:rPr>
          <w:rFonts w:cstheme="minorHAnsi"/>
          <w:b/>
          <w:bCs/>
          <w:color w:val="FF0000"/>
          <w:sz w:val="24"/>
          <w:szCs w:val="24"/>
        </w:rPr>
        <w:t>quired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205E7B82" w14:textId="77777777" w:rsidR="008D4D57" w:rsidRDefault="008D4D57" w:rsidP="00A61B72">
      <w:pPr>
        <w:spacing w:after="0" w:line="240" w:lineRule="auto"/>
        <w:rPr>
          <w:b/>
          <w:bCs/>
          <w:u w:val="single"/>
        </w:rPr>
      </w:pPr>
    </w:p>
    <w:p w14:paraId="7EDC374C" w14:textId="77777777" w:rsidR="000F44BD" w:rsidRDefault="000F44BD" w:rsidP="00A61B72">
      <w:pPr>
        <w:spacing w:after="0" w:line="240" w:lineRule="auto"/>
        <w:rPr>
          <w:b/>
          <w:bCs/>
          <w:u w:val="single"/>
        </w:rPr>
      </w:pPr>
    </w:p>
    <w:p w14:paraId="4C74448C" w14:textId="20EE4D29" w:rsidR="006E672B" w:rsidRDefault="006E672B" w:rsidP="00A61B7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Policy 7140 </w:t>
      </w:r>
      <w:r w:rsidR="00A61B72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A61B72">
        <w:rPr>
          <w:b/>
          <w:bCs/>
          <w:u w:val="single"/>
        </w:rPr>
        <w:t xml:space="preserve">Loan Add </w:t>
      </w:r>
      <w:proofErr w:type="gramStart"/>
      <w:r w:rsidR="00A61B72">
        <w:rPr>
          <w:b/>
          <w:bCs/>
          <w:u w:val="single"/>
        </w:rPr>
        <w:t>On</w:t>
      </w:r>
      <w:proofErr w:type="gramEnd"/>
      <w:r w:rsidR="00A61B72">
        <w:rPr>
          <w:b/>
          <w:bCs/>
          <w:u w:val="single"/>
        </w:rPr>
        <w:t xml:space="preserve"> Products</w:t>
      </w:r>
    </w:p>
    <w:p w14:paraId="75254167" w14:textId="34DFB798" w:rsidR="00A61B72" w:rsidRDefault="00A61B72" w:rsidP="00A61B7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2025-1</w:t>
      </w:r>
    </w:p>
    <w:p w14:paraId="787FE13E" w14:textId="5813DA23" w:rsidR="00A61B72" w:rsidRDefault="00A61B72" w:rsidP="00A61B72">
      <w:pPr>
        <w:spacing w:after="0" w:line="240" w:lineRule="auto"/>
      </w:pPr>
      <w:r>
        <w:t>Adding clarity to the policy regarding the purchase of insurance for real estate-secured products.</w:t>
      </w:r>
      <w:r>
        <w:br/>
      </w:r>
    </w:p>
    <w:p w14:paraId="74A51AF1" w14:textId="77777777" w:rsidR="00A61B72" w:rsidRDefault="00A61B72" w:rsidP="00A61B72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</w:t>
      </w:r>
      <w:r>
        <w:rPr>
          <w:rFonts w:cstheme="minorHAnsi"/>
          <w:b/>
          <w:bCs/>
          <w:color w:val="FF0000"/>
          <w:sz w:val="24"/>
          <w:szCs w:val="24"/>
        </w:rPr>
        <w:t>ecommended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0D2E0534" w14:textId="77777777" w:rsidR="00A61B72" w:rsidRPr="00A61B72" w:rsidRDefault="00A61B72"/>
    <w:p w14:paraId="7C285319" w14:textId="1C538DD1" w:rsidR="00F528A4" w:rsidRPr="003510D4" w:rsidRDefault="00B13D59">
      <w:pPr>
        <w:rPr>
          <w:b/>
          <w:bCs/>
          <w:u w:val="single"/>
        </w:rPr>
      </w:pPr>
      <w:r w:rsidRPr="003510D4">
        <w:rPr>
          <w:b/>
          <w:bCs/>
          <w:u w:val="single"/>
        </w:rPr>
        <w:t xml:space="preserve">Policy </w:t>
      </w:r>
      <w:r w:rsidR="00777D54" w:rsidRPr="003510D4">
        <w:rPr>
          <w:b/>
          <w:bCs/>
          <w:u w:val="single"/>
        </w:rPr>
        <w:t>7303</w:t>
      </w:r>
      <w:r w:rsidRPr="003510D4">
        <w:rPr>
          <w:b/>
          <w:bCs/>
          <w:u w:val="single"/>
        </w:rPr>
        <w:t xml:space="preserve"> – Real Estate Appraisals: Appendices</w:t>
      </w:r>
    </w:p>
    <w:p w14:paraId="4E6D8204" w14:textId="730B4651" w:rsidR="00B13D59" w:rsidRPr="003510D4" w:rsidRDefault="00B13D59">
      <w:pPr>
        <w:rPr>
          <w:b/>
          <w:bCs/>
          <w:u w:val="single"/>
        </w:rPr>
      </w:pPr>
      <w:r w:rsidRPr="003510D4">
        <w:rPr>
          <w:b/>
          <w:bCs/>
          <w:u w:val="single"/>
        </w:rPr>
        <w:t>2025-1</w:t>
      </w:r>
    </w:p>
    <w:p w14:paraId="0EE6C07A" w14:textId="63DB5D0E" w:rsidR="00B13D59" w:rsidRDefault="00B13D59">
      <w:r>
        <w:t>These appendices were revised to comply with the changes</w:t>
      </w:r>
      <w:r w:rsidR="005D4E3B">
        <w:t xml:space="preserve"> to the </w:t>
      </w:r>
      <w:hyperlink r:id="rId13" w:history="1">
        <w:r w:rsidR="005D4E3B" w:rsidRPr="001A3103">
          <w:rPr>
            <w:rStyle w:val="Hyperlink"/>
          </w:rPr>
          <w:t>final rule</w:t>
        </w:r>
      </w:hyperlink>
      <w:r w:rsidR="005D4E3B">
        <w:t xml:space="preserve"> </w:t>
      </w:r>
      <w:r w:rsidR="00EB502C">
        <w:t>regarding quality control standards for automated valuation models that becomes effective on October 1, 2025.</w:t>
      </w:r>
    </w:p>
    <w:p w14:paraId="3E3E7563" w14:textId="77777777" w:rsidR="001A3103" w:rsidRDefault="001A3103" w:rsidP="001A310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</w:t>
      </w:r>
      <w:r>
        <w:rPr>
          <w:rFonts w:cstheme="minorHAnsi"/>
          <w:b/>
          <w:bCs/>
          <w:color w:val="FF0000"/>
          <w:sz w:val="24"/>
          <w:szCs w:val="24"/>
        </w:rPr>
        <w:t>ecommended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03D93121" w14:textId="77777777" w:rsidR="001A3103" w:rsidRDefault="001A3103"/>
    <w:p w14:paraId="1A495257" w14:textId="33C84368" w:rsidR="00F528A4" w:rsidRDefault="00F528A4"/>
    <w:sectPr w:rsidR="00F5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0"/>
    <w:rsid w:val="00002954"/>
    <w:rsid w:val="0009173D"/>
    <w:rsid w:val="00093163"/>
    <w:rsid w:val="000F44BD"/>
    <w:rsid w:val="00116D83"/>
    <w:rsid w:val="00140736"/>
    <w:rsid w:val="00147B35"/>
    <w:rsid w:val="00152A92"/>
    <w:rsid w:val="00176B33"/>
    <w:rsid w:val="00177FD0"/>
    <w:rsid w:val="00186D6A"/>
    <w:rsid w:val="00192968"/>
    <w:rsid w:val="001A3103"/>
    <w:rsid w:val="001D53D6"/>
    <w:rsid w:val="002032C7"/>
    <w:rsid w:val="0020500F"/>
    <w:rsid w:val="002215FD"/>
    <w:rsid w:val="00252A65"/>
    <w:rsid w:val="002C2449"/>
    <w:rsid w:val="0032396D"/>
    <w:rsid w:val="00337CE2"/>
    <w:rsid w:val="003510D4"/>
    <w:rsid w:val="0036333E"/>
    <w:rsid w:val="003A3463"/>
    <w:rsid w:val="003E5233"/>
    <w:rsid w:val="003F0FD4"/>
    <w:rsid w:val="00401ED1"/>
    <w:rsid w:val="00407469"/>
    <w:rsid w:val="00416903"/>
    <w:rsid w:val="0042083A"/>
    <w:rsid w:val="004630DA"/>
    <w:rsid w:val="0049268A"/>
    <w:rsid w:val="004A1D2A"/>
    <w:rsid w:val="004A5771"/>
    <w:rsid w:val="00510527"/>
    <w:rsid w:val="005441E6"/>
    <w:rsid w:val="00566DD6"/>
    <w:rsid w:val="005716FE"/>
    <w:rsid w:val="00587406"/>
    <w:rsid w:val="0059320B"/>
    <w:rsid w:val="005D4E3B"/>
    <w:rsid w:val="00625C67"/>
    <w:rsid w:val="006B1730"/>
    <w:rsid w:val="006D1B7D"/>
    <w:rsid w:val="006D1D51"/>
    <w:rsid w:val="006E672B"/>
    <w:rsid w:val="006F6F1F"/>
    <w:rsid w:val="00702E72"/>
    <w:rsid w:val="00744826"/>
    <w:rsid w:val="007679C0"/>
    <w:rsid w:val="00777D54"/>
    <w:rsid w:val="007D1EE6"/>
    <w:rsid w:val="007F7863"/>
    <w:rsid w:val="00832627"/>
    <w:rsid w:val="00846AC8"/>
    <w:rsid w:val="0088092D"/>
    <w:rsid w:val="008C2C83"/>
    <w:rsid w:val="008D4D57"/>
    <w:rsid w:val="008E10F4"/>
    <w:rsid w:val="008E3844"/>
    <w:rsid w:val="00934625"/>
    <w:rsid w:val="009409CD"/>
    <w:rsid w:val="00980485"/>
    <w:rsid w:val="00997562"/>
    <w:rsid w:val="009A0144"/>
    <w:rsid w:val="009B6D28"/>
    <w:rsid w:val="009C296C"/>
    <w:rsid w:val="009F41F7"/>
    <w:rsid w:val="00A05D86"/>
    <w:rsid w:val="00A23BCA"/>
    <w:rsid w:val="00A5455C"/>
    <w:rsid w:val="00A61B72"/>
    <w:rsid w:val="00AA6E3F"/>
    <w:rsid w:val="00B008E9"/>
    <w:rsid w:val="00B034F0"/>
    <w:rsid w:val="00B13D59"/>
    <w:rsid w:val="00B33A7B"/>
    <w:rsid w:val="00B4044A"/>
    <w:rsid w:val="00B86CC9"/>
    <w:rsid w:val="00BA6A61"/>
    <w:rsid w:val="00BE0778"/>
    <w:rsid w:val="00BE2EBD"/>
    <w:rsid w:val="00BF51C8"/>
    <w:rsid w:val="00BF5395"/>
    <w:rsid w:val="00C03F22"/>
    <w:rsid w:val="00C139E6"/>
    <w:rsid w:val="00C67DF9"/>
    <w:rsid w:val="00C75767"/>
    <w:rsid w:val="00CA2CDF"/>
    <w:rsid w:val="00CD39D3"/>
    <w:rsid w:val="00D12C07"/>
    <w:rsid w:val="00D130B3"/>
    <w:rsid w:val="00D21C38"/>
    <w:rsid w:val="00D4133C"/>
    <w:rsid w:val="00D8528D"/>
    <w:rsid w:val="00D9125D"/>
    <w:rsid w:val="00D952FE"/>
    <w:rsid w:val="00DC305E"/>
    <w:rsid w:val="00E179F4"/>
    <w:rsid w:val="00E34A5E"/>
    <w:rsid w:val="00E60D07"/>
    <w:rsid w:val="00E61CE5"/>
    <w:rsid w:val="00EB502C"/>
    <w:rsid w:val="00ED130B"/>
    <w:rsid w:val="00ED7A76"/>
    <w:rsid w:val="00F2293E"/>
    <w:rsid w:val="00F32B44"/>
    <w:rsid w:val="00F44829"/>
    <w:rsid w:val="00F528A4"/>
    <w:rsid w:val="00F53F16"/>
    <w:rsid w:val="00F87076"/>
    <w:rsid w:val="00FA2C6D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A98B"/>
  <w15:chartTrackingRefBased/>
  <w15:docId w15:val="{E4E34B57-FECF-4D77-940B-B825FFA7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F0"/>
  </w:style>
  <w:style w:type="paragraph" w:styleId="Heading1">
    <w:name w:val="heading 1"/>
    <w:basedOn w:val="Normal"/>
    <w:next w:val="Normal"/>
    <w:link w:val="Heading1Char"/>
    <w:uiPriority w:val="9"/>
    <w:qFormat/>
    <w:rsid w:val="00B0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34F0"/>
    <w:rPr>
      <w:color w:val="467886" w:themeColor="hyperlink"/>
      <w:u w:val="single"/>
    </w:rPr>
  </w:style>
  <w:style w:type="paragraph" w:customStyle="1" w:styleId="Default">
    <w:name w:val="Default"/>
    <w:rsid w:val="00B0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0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2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2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5-04-22/pdf/2025-05904.pdf" TargetMode="External"/><Relationship Id="rId13" Type="http://schemas.openxmlformats.org/officeDocument/2006/relationships/hyperlink" Target="https://www.govinfo.gov/content/pkg/FR-2024-08-07/pdf/2024-16197.pdf?utm_campaign=subscription+mailing+list&amp;utm_medium=email&amp;utm_source=federalregister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info.gov/content/pkg/FR-2024-08-07/pdf/2024-16197.pdf?utm_campaign=subscription+mailing+list&amp;utm_medium=email&amp;utm_source=federalregister.gov" TargetMode="External"/><Relationship Id="rId12" Type="http://schemas.openxmlformats.org/officeDocument/2006/relationships/hyperlink" Target="https://www.govinfo.gov/content/pkg/FR-2025-04-22/pdf/2025-0590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ua.gov/regulation-supervision/letters-credit-unions-other-guidance/ncuas-2025-supervisory-priorities" TargetMode="External"/><Relationship Id="rId11" Type="http://schemas.openxmlformats.org/officeDocument/2006/relationships/hyperlink" Target="https://ncua.gov/files/agenda-items/succession-planning-final-rule-20241217.pdf" TargetMode="External"/><Relationship Id="rId5" Type="http://schemas.openxmlformats.org/officeDocument/2006/relationships/hyperlink" Target="https://www.regulations.gov/document/NCUA-2025-0047-00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cua.gov/files/agenda-items/succession-planning-final-rule-20241217.pdf" TargetMode="External"/><Relationship Id="rId4" Type="http://schemas.openxmlformats.org/officeDocument/2006/relationships/hyperlink" Target="https://ncua.gov/files/agenda-items/succession-planning-final-rule-20241217.pdf" TargetMode="External"/><Relationship Id="rId9" Type="http://schemas.openxmlformats.org/officeDocument/2006/relationships/hyperlink" Target="https://ncua.gov/regulation-supervision/letters-credit-unions-other-guidance/ncuas-2025-supervisory-priorit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Rhonda Criss</cp:lastModifiedBy>
  <cp:revision>2</cp:revision>
  <dcterms:created xsi:type="dcterms:W3CDTF">2025-05-06T18:56:00Z</dcterms:created>
  <dcterms:modified xsi:type="dcterms:W3CDTF">2025-05-06T18:56:00Z</dcterms:modified>
</cp:coreProperties>
</file>